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C00C8B0"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7F1096">
        <w:rPr>
          <w:rFonts w:cs="Arial"/>
          <w:sz w:val="24"/>
          <w:lang w:eastAsia="zh-CN"/>
        </w:rPr>
        <w:t>2</w:t>
      </w:r>
      <w:r w:rsidR="00450E6A">
        <w:rPr>
          <w:rFonts w:cs="Arial"/>
          <w:sz w:val="24"/>
          <w:lang w:eastAsia="zh-CN"/>
        </w:rPr>
        <w:t>1</w:t>
      </w:r>
      <w:r>
        <w:rPr>
          <w:rFonts w:cs="Arial"/>
          <w:sz w:val="24"/>
          <w:lang w:eastAsia="zh-CN"/>
        </w:rPr>
        <w:tab/>
      </w:r>
      <w:r w:rsidR="00C524DA" w:rsidRPr="00C524DA">
        <w:rPr>
          <w:rFonts w:cs="Arial"/>
          <w:sz w:val="24"/>
          <w:lang w:eastAsia="zh-CN"/>
        </w:rPr>
        <w:t>R2-2300963</w:t>
      </w:r>
    </w:p>
    <w:p w14:paraId="194FD871" w14:textId="02E44EAE" w:rsidR="00824529" w:rsidRDefault="00450E6A" w:rsidP="00AD4681">
      <w:pPr>
        <w:pStyle w:val="a3"/>
        <w:tabs>
          <w:tab w:val="right" w:pos="9639"/>
        </w:tabs>
        <w:jc w:val="both"/>
        <w:rPr>
          <w:rFonts w:cs="Arial"/>
          <w:sz w:val="24"/>
          <w:lang w:eastAsia="zh-CN"/>
        </w:rPr>
      </w:pPr>
      <w:r>
        <w:rPr>
          <w:rFonts w:cs="Arial"/>
          <w:sz w:val="24"/>
          <w:lang w:eastAsia="zh-CN"/>
        </w:rPr>
        <w:t>Athens</w:t>
      </w:r>
      <w:r w:rsidR="00AD4681" w:rsidRPr="00C74D81">
        <w:rPr>
          <w:rFonts w:cs="Arial"/>
          <w:sz w:val="24"/>
          <w:lang w:eastAsia="zh-CN"/>
        </w:rPr>
        <w:t xml:space="preserve">, </w:t>
      </w:r>
      <w:r w:rsidR="0097306B">
        <w:rPr>
          <w:rFonts w:cs="Arial"/>
          <w:sz w:val="24"/>
          <w:lang w:eastAsia="zh-CN"/>
        </w:rPr>
        <w:t xml:space="preserve">Greece, </w:t>
      </w:r>
      <w:r>
        <w:rPr>
          <w:rFonts w:cs="Arial"/>
          <w:sz w:val="24"/>
          <w:lang w:eastAsia="zh-CN"/>
        </w:rPr>
        <w:t>27</w:t>
      </w:r>
      <w:r w:rsidRPr="00450E6A">
        <w:rPr>
          <w:rFonts w:cs="Arial"/>
          <w:sz w:val="24"/>
          <w:vertAlign w:val="superscript"/>
          <w:lang w:eastAsia="zh-CN"/>
        </w:rPr>
        <w:t>th</w:t>
      </w:r>
      <w:r>
        <w:rPr>
          <w:rFonts w:cs="Arial"/>
          <w:sz w:val="24"/>
          <w:lang w:eastAsia="zh-CN"/>
        </w:rPr>
        <w:t xml:space="preserve"> Feb</w:t>
      </w:r>
      <w:r w:rsidR="0097306B">
        <w:rPr>
          <w:rFonts w:cs="Arial"/>
          <w:sz w:val="24"/>
          <w:lang w:eastAsia="zh-CN"/>
        </w:rPr>
        <w:t>.</w:t>
      </w:r>
      <w:r>
        <w:rPr>
          <w:rFonts w:cs="Arial"/>
          <w:sz w:val="24"/>
          <w:lang w:eastAsia="zh-CN"/>
        </w:rPr>
        <w:t>-3</w:t>
      </w:r>
      <w:r w:rsidRPr="00450E6A">
        <w:rPr>
          <w:rFonts w:cs="Arial"/>
          <w:sz w:val="24"/>
          <w:vertAlign w:val="superscript"/>
          <w:lang w:eastAsia="zh-CN"/>
        </w:rPr>
        <w:t>rd</w:t>
      </w:r>
      <w:r>
        <w:rPr>
          <w:rFonts w:cs="Arial"/>
          <w:sz w:val="24"/>
          <w:lang w:eastAsia="zh-CN"/>
        </w:rPr>
        <w:t xml:space="preserve"> </w:t>
      </w:r>
      <w:r w:rsidR="006C00B6">
        <w:rPr>
          <w:rFonts w:cs="Arial"/>
          <w:sz w:val="24"/>
          <w:lang w:eastAsia="zh-CN"/>
        </w:rPr>
        <w:t>Mar.</w:t>
      </w:r>
      <w:r w:rsidR="00AD4681" w:rsidRPr="00C74D81">
        <w:rPr>
          <w:rFonts w:cs="Arial"/>
          <w:sz w:val="24"/>
          <w:lang w:eastAsia="zh-CN"/>
        </w:rPr>
        <w:t>, 202</w:t>
      </w:r>
      <w:r>
        <w:rPr>
          <w:rFonts w:cs="Arial"/>
          <w:sz w:val="24"/>
          <w:lang w:eastAsia="zh-CN"/>
        </w:rPr>
        <w:t>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C4446B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67110C">
        <w:rPr>
          <w:rFonts w:eastAsia="宋体" w:cs="Arial"/>
          <w:b/>
          <w:bCs/>
          <w:kern w:val="2"/>
          <w:sz w:val="24"/>
          <w:szCs w:val="22"/>
          <w:lang w:val="en-US" w:eastAsia="zh-CN"/>
        </w:rPr>
        <w:t>4</w:t>
      </w:r>
      <w:r w:rsidR="009F47BD">
        <w:rPr>
          <w:rFonts w:eastAsia="宋体" w:cs="Arial" w:hint="eastAsia"/>
          <w:b/>
          <w:bCs/>
          <w:kern w:val="2"/>
          <w:sz w:val="24"/>
          <w:szCs w:val="22"/>
          <w:lang w:val="en-US" w:eastAsia="zh-CN"/>
        </w:rPr>
        <w:t>.</w:t>
      </w:r>
      <w:r w:rsidR="0067110C">
        <w:rPr>
          <w:rFonts w:eastAsia="宋体" w:cs="Arial"/>
          <w:b/>
          <w:bCs/>
          <w:kern w:val="2"/>
          <w:sz w:val="24"/>
          <w:szCs w:val="22"/>
          <w:lang w:val="en-US" w:eastAsia="zh-CN"/>
        </w:rPr>
        <w:t>2.</w:t>
      </w:r>
      <w:r w:rsidR="00A030D1">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6531DB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66E6B">
        <w:rPr>
          <w:rFonts w:ascii="Arial" w:hAnsi="Arial" w:cs="Arial" w:hint="eastAsia"/>
          <w:b/>
          <w:bCs/>
          <w:sz w:val="24"/>
        </w:rPr>
        <w:t>C</w:t>
      </w:r>
      <w:r w:rsidR="00D66E6B" w:rsidRPr="00D66E6B">
        <w:rPr>
          <w:rFonts w:ascii="Arial" w:hAnsi="Arial" w:cs="Arial"/>
          <w:b/>
          <w:bCs/>
          <w:sz w:val="24"/>
        </w:rPr>
        <w:t>ompliance check for LTM configuration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B54550C" w14:textId="5AC5B8C6" w:rsidR="004C4485" w:rsidRPr="00025CAF" w:rsidRDefault="006413DB" w:rsidP="00025CAF">
      <w:pPr>
        <w:pStyle w:val="Doc-text2"/>
        <w:ind w:left="0" w:firstLine="0"/>
        <w:rPr>
          <w:rFonts w:eastAsiaTheme="minorEastAsia"/>
          <w:lang w:eastAsia="zh-CN"/>
        </w:rPr>
      </w:pPr>
      <w:r>
        <w:rPr>
          <w:rFonts w:eastAsiaTheme="minorEastAsia"/>
          <w:lang w:eastAsia="zh-CN"/>
        </w:rPr>
        <w:t>T</w:t>
      </w:r>
      <w:r w:rsidR="00025CAF">
        <w:rPr>
          <w:rFonts w:eastAsiaTheme="minorEastAsia"/>
          <w:lang w:eastAsia="zh-CN"/>
        </w:rPr>
        <w:t>he following agreemen</w:t>
      </w:r>
      <w:r>
        <w:rPr>
          <w:rFonts w:eastAsiaTheme="minorEastAsia" w:hint="eastAsia"/>
          <w:lang w:eastAsia="zh-CN"/>
        </w:rPr>
        <w:t>t</w:t>
      </w:r>
      <w:r>
        <w:rPr>
          <w:rFonts w:eastAsiaTheme="minorEastAsia"/>
          <w:lang w:eastAsia="zh-CN"/>
        </w:rPr>
        <w:t xml:space="preserve">s related to </w:t>
      </w:r>
      <w:r w:rsidR="00A0085E">
        <w:rPr>
          <w:rFonts w:eastAsiaTheme="minorEastAsia"/>
          <w:lang w:eastAsia="zh-CN"/>
        </w:rPr>
        <w:t>LTM</w:t>
      </w:r>
      <w:r>
        <w:rPr>
          <w:rFonts w:eastAsiaTheme="minorEastAsia"/>
          <w:lang w:eastAsia="zh-CN"/>
        </w:rPr>
        <w:t xml:space="preserve"> </w:t>
      </w:r>
      <w:r w:rsidR="00A0085E">
        <w:rPr>
          <w:rFonts w:eastAsiaTheme="minorEastAsia"/>
          <w:lang w:eastAsia="zh-CN"/>
        </w:rPr>
        <w:t>are</w:t>
      </w:r>
      <w:r>
        <w:rPr>
          <w:rFonts w:eastAsiaTheme="minorEastAsia"/>
          <w:lang w:eastAsia="zh-CN"/>
        </w:rPr>
        <w:t xml:space="preserve"> obtained</w:t>
      </w:r>
      <w:r w:rsidR="00A0085E">
        <w:rPr>
          <w:rFonts w:eastAsiaTheme="minorEastAsia"/>
          <w:lang w:eastAsia="zh-CN"/>
        </w:rPr>
        <w:t xml:space="preserve"> [1]</w:t>
      </w:r>
      <w:r w:rsidR="0014492C">
        <w:rPr>
          <w:rFonts w:eastAsiaTheme="minorEastAsia"/>
          <w:lang w:eastAsia="zh-CN"/>
        </w:rPr>
        <w:t xml:space="preserve"> [2]</w:t>
      </w:r>
      <w:r w:rsidR="00025CAF">
        <w:rPr>
          <w:rFonts w:eastAsiaTheme="minorEastAsia"/>
          <w:lang w:eastAsia="zh-CN"/>
        </w:rPr>
        <w:t xml:space="preserve">. </w:t>
      </w:r>
    </w:p>
    <w:p w14:paraId="317519E4" w14:textId="77777777" w:rsidR="006C21C7" w:rsidRPr="0089793F" w:rsidRDefault="006C21C7" w:rsidP="006C21C7">
      <w:pPr>
        <w:pStyle w:val="Agreement"/>
        <w:numPr>
          <w:ilvl w:val="0"/>
          <w:numId w:val="16"/>
        </w:numPr>
        <w:rPr>
          <w:lang w:eastAsia="zh-CN"/>
        </w:rPr>
      </w:pPr>
      <w:bookmarkStart w:id="4" w:name="_Hlk117510277"/>
      <w:r>
        <w:rPr>
          <w:lang w:eastAsia="zh-CN"/>
        </w:rPr>
        <w:t xml:space="preserve">FFS whether ASN.1 </w:t>
      </w:r>
      <w:proofErr w:type="gramStart"/>
      <w:r>
        <w:rPr>
          <w:lang w:eastAsia="zh-CN"/>
        </w:rPr>
        <w:t>decoding</w:t>
      </w:r>
      <w:proofErr w:type="gramEnd"/>
      <w:r>
        <w:rPr>
          <w:lang w:eastAsia="zh-CN"/>
        </w:rPr>
        <w:t xml:space="preserve"> and validity</w:t>
      </w:r>
      <w:r>
        <w:rPr>
          <w:rFonts w:hint="eastAsia"/>
          <w:lang w:eastAsia="zh-CN"/>
        </w:rPr>
        <w:t>/</w:t>
      </w:r>
      <w:r>
        <w:rPr>
          <w:lang w:eastAsia="zh-CN"/>
        </w:rPr>
        <w:t>compliance check</w:t>
      </w:r>
      <w:r>
        <w:rPr>
          <w:rFonts w:hint="eastAsia"/>
          <w:lang w:eastAsia="zh-CN"/>
        </w:rPr>
        <w:t xml:space="preserve"> of candidate cell configuration are performed upon reception of the candidate cells configuration.</w:t>
      </w:r>
      <w:r>
        <w:rPr>
          <w:lang w:eastAsia="zh-CN"/>
        </w:rPr>
        <w:t xml:space="preserve"> FFS if this need to be specified. </w:t>
      </w:r>
    </w:p>
    <w:bookmarkEnd w:id="4"/>
    <w:p w14:paraId="0B343A58" w14:textId="77777777" w:rsidR="007F1096" w:rsidRPr="007F1096" w:rsidRDefault="007F1096" w:rsidP="007F1096">
      <w:pPr>
        <w:pStyle w:val="Doc-text2"/>
        <w:rPr>
          <w:lang w:val="en-US"/>
        </w:rPr>
      </w:pPr>
    </w:p>
    <w:p w14:paraId="01AC9F7F" w14:textId="6C14E83F"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B03EDB">
        <w:rPr>
          <w:rFonts w:ascii="Times New Roman" w:eastAsia="MS Mincho" w:hAnsi="Times New Roman"/>
          <w:lang w:eastAsia="ja-JP"/>
        </w:rPr>
        <w:t>compliance</w:t>
      </w:r>
      <w:r w:rsidR="008A62C9">
        <w:rPr>
          <w:rFonts w:ascii="Times New Roman" w:eastAsia="MS Mincho" w:hAnsi="Times New Roman"/>
          <w:lang w:eastAsia="ja-JP"/>
        </w:rPr>
        <w:t xml:space="preserve"> </w:t>
      </w:r>
      <w:r w:rsidR="00A0085E">
        <w:rPr>
          <w:rFonts w:ascii="Times New Roman" w:eastAsia="MS Mincho" w:hAnsi="Times New Roman"/>
          <w:lang w:eastAsia="ja-JP"/>
        </w:rPr>
        <w:t>issues</w:t>
      </w:r>
      <w:r w:rsidR="008A62C9">
        <w:rPr>
          <w:rFonts w:ascii="Times New Roman" w:eastAsia="MS Mincho" w:hAnsi="Times New Roman"/>
          <w:lang w:eastAsia="ja-JP"/>
        </w:rPr>
        <w:t xml:space="preserve"> </w:t>
      </w:r>
      <w:r w:rsidR="00025CAF">
        <w:rPr>
          <w:rFonts w:ascii="Times New Roman" w:eastAsia="MS Mincho" w:hAnsi="Times New Roman"/>
          <w:lang w:eastAsia="ja-JP"/>
        </w:rPr>
        <w:t xml:space="preserve">for </w:t>
      </w:r>
      <w:r w:rsidR="003D07A9">
        <w:rPr>
          <w:rFonts w:ascii="Times New Roman" w:eastAsia="MS Mincho" w:hAnsi="Times New Roman"/>
          <w:lang w:eastAsia="ja-JP"/>
        </w:rPr>
        <w:t>LTM</w:t>
      </w:r>
      <w:r w:rsidRPr="008A62C9">
        <w:rPr>
          <w:rFonts w:ascii="Times New Roman" w:eastAsia="MS Mincho" w:hAnsi="Times New Roman"/>
          <w:lang w:eastAsia="ja-JP"/>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B2B6D7B" w14:textId="18BC5CB5" w:rsidR="00A040DA" w:rsidRDefault="00327C12" w:rsidP="00DB0867">
      <w:pPr>
        <w:tabs>
          <w:tab w:val="left" w:pos="8505"/>
        </w:tabs>
        <w:spacing w:beforeLines="50" w:before="156" w:afterLines="50" w:after="156"/>
        <w:jc w:val="center"/>
        <w:rPr>
          <w:rFonts w:ascii="Times New Roman" w:hAnsi="Times New Roman"/>
        </w:rPr>
      </w:pPr>
      <w:r>
        <w:object w:dxaOrig="7439" w:dyaOrig="8237" w14:anchorId="533ED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359.5pt" o:ole="">
            <v:imagedata r:id="rId8" o:title=""/>
          </v:shape>
          <o:OLEObject Type="Embed" ProgID="Visio.Drawing.15" ShapeID="_x0000_i1025" DrawAspect="Content" ObjectID="_1738129908" r:id="rId9"/>
        </w:object>
      </w:r>
    </w:p>
    <w:p w14:paraId="320F32CA" w14:textId="607791C0" w:rsidR="00CD49D0" w:rsidRDefault="00A4623C" w:rsidP="00A4623C">
      <w:pPr>
        <w:spacing w:beforeLines="50" w:before="156" w:afterLines="50" w:after="156"/>
        <w:jc w:val="center"/>
        <w:rPr>
          <w:rFonts w:ascii="Times New Roman" w:hAnsi="Times New Roman"/>
        </w:rPr>
      </w:pPr>
      <w:r>
        <w:rPr>
          <w:rFonts w:ascii="Times New Roman" w:hAnsi="Times New Roman"/>
        </w:rPr>
        <w:t xml:space="preserve">Figure: </w:t>
      </w:r>
      <w:r>
        <w:rPr>
          <w:rFonts w:ascii="Times New Roman" w:hAnsi="Times New Roman" w:hint="eastAsia"/>
        </w:rPr>
        <w:t>LTM</w:t>
      </w:r>
      <w:r>
        <w:rPr>
          <w:rFonts w:ascii="Times New Roman" w:hAnsi="Times New Roman"/>
        </w:rPr>
        <w:t xml:space="preserve"> </w:t>
      </w:r>
      <w:r>
        <w:rPr>
          <w:rFonts w:ascii="Times New Roman" w:hAnsi="Times New Roman" w:hint="eastAsia"/>
        </w:rPr>
        <w:t>pro</w:t>
      </w:r>
      <w:r>
        <w:rPr>
          <w:rFonts w:ascii="Times New Roman" w:hAnsi="Times New Roman"/>
        </w:rPr>
        <w:t>cedure</w:t>
      </w:r>
    </w:p>
    <w:p w14:paraId="0FDC47BE" w14:textId="45D06C3E" w:rsidR="006A69CA" w:rsidRDefault="00AF592D" w:rsidP="006A69CA">
      <w:pPr>
        <w:spacing w:beforeLines="50" w:before="156" w:afterLines="50" w:after="156"/>
        <w:jc w:val="left"/>
        <w:rPr>
          <w:rFonts w:ascii="Times New Roman" w:hAnsi="Times New Roman"/>
        </w:rPr>
      </w:pPr>
      <w:r>
        <w:rPr>
          <w:rFonts w:ascii="Times New Roman" w:hAnsi="Times New Roman"/>
        </w:rPr>
        <w:lastRenderedPageBreak/>
        <w:t xml:space="preserve">According to Figure, </w:t>
      </w:r>
      <w:r w:rsidRPr="00AF592D">
        <w:rPr>
          <w:rFonts w:ascii="Times New Roman" w:hAnsi="Times New Roman"/>
        </w:rPr>
        <w:t>LTM is a procedure in which a gN</w:t>
      </w:r>
      <w:r w:rsidRPr="00AF592D">
        <w:rPr>
          <w:rFonts w:ascii="Times New Roman" w:hAnsi="Times New Roman" w:hint="eastAsia"/>
        </w:rPr>
        <w:t>B</w:t>
      </w:r>
      <w:r w:rsidRPr="00AF592D">
        <w:rPr>
          <w:rFonts w:ascii="Times New Roman" w:hAnsi="Times New Roman"/>
        </w:rPr>
        <w:t xml:space="preserve"> provides the candidate cell configurations to the UE through RRC message</w:t>
      </w:r>
      <w:r>
        <w:rPr>
          <w:rFonts w:ascii="Times New Roman" w:hAnsi="Times New Roman"/>
        </w:rPr>
        <w:t xml:space="preserve"> based on the</w:t>
      </w:r>
      <w:r w:rsidRPr="00AF592D">
        <w:rPr>
          <w:rFonts w:ascii="Times New Roman" w:hAnsi="Times New Roman"/>
        </w:rPr>
        <w:t xml:space="preserve"> receive</w:t>
      </w:r>
      <w:r>
        <w:rPr>
          <w:rFonts w:ascii="Times New Roman" w:hAnsi="Times New Roman"/>
        </w:rPr>
        <w:t>d</w:t>
      </w:r>
      <w:r w:rsidRPr="00AF592D">
        <w:rPr>
          <w:rFonts w:ascii="Times New Roman" w:hAnsi="Times New Roman"/>
        </w:rPr>
        <w:t xml:space="preserve"> measurement reports from UEs</w:t>
      </w:r>
      <w:r>
        <w:rPr>
          <w:rFonts w:ascii="Times New Roman" w:hAnsi="Times New Roman"/>
        </w:rPr>
        <w:t xml:space="preserve">. The gNB can configure UE to perform early TA procedure. </w:t>
      </w:r>
      <w:r w:rsidR="00744D26">
        <w:rPr>
          <w:rFonts w:ascii="Times New Roman" w:hAnsi="Times New Roman"/>
        </w:rPr>
        <w:t xml:space="preserve">Furthermore, </w:t>
      </w:r>
      <w:r w:rsidR="00744D26" w:rsidRPr="00AF592D">
        <w:rPr>
          <w:rFonts w:ascii="Times New Roman" w:hAnsi="Times New Roman"/>
        </w:rPr>
        <w:t>the gNB changes UEs’ serving cell(s) through MAC CE.</w:t>
      </w:r>
      <w:r w:rsidR="00744D26">
        <w:rPr>
          <w:rFonts w:ascii="Times New Roman" w:hAnsi="Times New Roman"/>
        </w:rPr>
        <w:t xml:space="preserve"> </w:t>
      </w:r>
      <w:r w:rsidR="005E240D" w:rsidRPr="006A69CA">
        <w:rPr>
          <w:rFonts w:ascii="Times New Roman" w:hAnsi="Times New Roman"/>
        </w:rPr>
        <w:t xml:space="preserve">Regarding legacy CHO and CPAC, it is up to UE implementation </w:t>
      </w:r>
      <w:r w:rsidR="005E240D">
        <w:rPr>
          <w:rFonts w:ascii="Times New Roman" w:hAnsi="Times New Roman"/>
        </w:rPr>
        <w:t>to perform</w:t>
      </w:r>
      <w:r w:rsidR="005E240D" w:rsidRPr="006A69CA">
        <w:rPr>
          <w:rFonts w:ascii="Times New Roman" w:hAnsi="Times New Roman"/>
        </w:rPr>
        <w:t xml:space="preserve"> compliance check upon the reception of the message or upon CHO, CPA and CPC execution.</w:t>
      </w:r>
      <w:r w:rsidR="005E240D">
        <w:rPr>
          <w:rFonts w:ascii="Times New Roman" w:hAnsi="Times New Roman"/>
        </w:rPr>
        <w:t xml:space="preserve"> Comparing to the CHO/CPAC, UE also can perform compliance check upon early TA acquisition execution. </w:t>
      </w:r>
      <w:r w:rsidR="006A69CA">
        <w:rPr>
          <w:rFonts w:ascii="Times New Roman" w:hAnsi="Times New Roman"/>
        </w:rPr>
        <w:t xml:space="preserve">Therefore, UE can perform compliance check </w:t>
      </w:r>
      <w:r w:rsidR="00744D26">
        <w:rPr>
          <w:rFonts w:ascii="Times New Roman" w:hAnsi="Times New Roman"/>
        </w:rPr>
        <w:t xml:space="preserve">for LTM configuration </w:t>
      </w:r>
      <w:r w:rsidR="006A69CA">
        <w:rPr>
          <w:rFonts w:ascii="Times New Roman" w:hAnsi="Times New Roman"/>
        </w:rPr>
        <w:t xml:space="preserve">upon reception of candidate cell configuration, performing early TA acquisition or executing cell switching. </w:t>
      </w:r>
    </w:p>
    <w:p w14:paraId="64CEB2DE" w14:textId="6800797F" w:rsidR="006A69CA" w:rsidRPr="00744D26" w:rsidRDefault="00744D26" w:rsidP="006A69CA">
      <w:pPr>
        <w:spacing w:beforeLines="50" w:before="156" w:afterLines="50" w:after="156"/>
        <w:jc w:val="left"/>
        <w:rPr>
          <w:rFonts w:ascii="Times New Roman" w:hAnsi="Times New Roman"/>
        </w:rPr>
      </w:pPr>
      <w:r>
        <w:rPr>
          <w:rFonts w:ascii="Times New Roman" w:hAnsi="Times New Roman" w:hint="eastAsia"/>
        </w:rPr>
        <w:t>S</w:t>
      </w:r>
      <w:r>
        <w:rPr>
          <w:rFonts w:ascii="Times New Roman" w:hAnsi="Times New Roman"/>
        </w:rPr>
        <w:t>ome companies argue that latency for compliance check can be reduced if compliance check can be performed before cell switching</w:t>
      </w:r>
      <w:r w:rsidR="003C6643">
        <w:rPr>
          <w:rFonts w:ascii="Times New Roman" w:hAnsi="Times New Roman"/>
        </w:rPr>
        <w:t xml:space="preserve">. Considering the diversity in email and online discussion, we can have a compromised solution. </w:t>
      </w:r>
      <w:r w:rsidR="00DB7AF1">
        <w:rPr>
          <w:rFonts w:ascii="Times New Roman" w:hAnsi="Times New Roman"/>
        </w:rPr>
        <w:t>Namely, i</w:t>
      </w:r>
      <w:r w:rsidR="003C6643">
        <w:rPr>
          <w:rFonts w:ascii="Times New Roman" w:hAnsi="Times New Roman"/>
        </w:rPr>
        <w:t>t is UE implementation to perform compliance check for LTM configuration upon reception of candidate cell configuration, performing early TA acquisition or executing cell switching.</w:t>
      </w:r>
    </w:p>
    <w:p w14:paraId="61E729C3" w14:textId="26FFB0F9" w:rsidR="00CD49D0" w:rsidRPr="002E421B" w:rsidRDefault="00A00D20" w:rsidP="002E421B">
      <w:pPr>
        <w:pStyle w:val="Doc-text2"/>
        <w:ind w:left="0" w:firstLine="0"/>
        <w:rPr>
          <w:rFonts w:ascii="Times New Roman" w:hAnsi="Times New Roman"/>
          <w:b/>
          <w:bCs/>
          <w:szCs w:val="20"/>
          <w:lang w:eastAsia="zh-CN"/>
        </w:rPr>
      </w:pPr>
      <w:r>
        <w:rPr>
          <w:rFonts w:ascii="Times New Roman" w:hAnsi="Times New Roman"/>
          <w:b/>
          <w:bCs/>
          <w:szCs w:val="20"/>
          <w:lang w:eastAsia="zh-CN"/>
        </w:rPr>
        <w:t>Proposal</w:t>
      </w:r>
      <w:r w:rsidR="00DB7AF1">
        <w:rPr>
          <w:rFonts w:ascii="Times New Roman" w:hAnsi="Times New Roman"/>
          <w:b/>
          <w:bCs/>
          <w:szCs w:val="20"/>
          <w:lang w:eastAsia="zh-CN"/>
        </w:rPr>
        <w:t xml:space="preserve"> 1</w:t>
      </w:r>
      <w:r>
        <w:rPr>
          <w:rFonts w:ascii="Times New Roman" w:hAnsi="Times New Roman"/>
          <w:b/>
          <w:bCs/>
          <w:szCs w:val="20"/>
          <w:lang w:eastAsia="zh-CN"/>
        </w:rPr>
        <w:t xml:space="preserve">: </w:t>
      </w:r>
      <w:r w:rsidR="00DB7AF1" w:rsidRPr="00DB7AF1">
        <w:rPr>
          <w:rFonts w:ascii="Times New Roman" w:hAnsi="Times New Roman"/>
          <w:b/>
          <w:bCs/>
          <w:szCs w:val="20"/>
          <w:lang w:eastAsia="zh-CN"/>
        </w:rPr>
        <w:t>It is UE implementation to perform compliance check for LTM configuration upon reception of candidate cell configuration, performing early TA acquisition or executing cell switching</w:t>
      </w:r>
      <w:r w:rsidR="00CD49D0" w:rsidRPr="002E421B">
        <w:rPr>
          <w:rFonts w:ascii="Times New Roman" w:hAnsi="Times New Roman"/>
          <w:b/>
          <w:bCs/>
          <w:szCs w:val="20"/>
          <w:lang w:eastAsia="zh-CN"/>
        </w:rPr>
        <w:t>.</w:t>
      </w:r>
    </w:p>
    <w:p w14:paraId="63C7768D" w14:textId="174B8E4D" w:rsidR="00602C6E" w:rsidRDefault="00DB7AF1" w:rsidP="00DB7AF1">
      <w:pPr>
        <w:spacing w:beforeLines="50" w:before="156" w:afterLines="50" w:after="156"/>
        <w:jc w:val="left"/>
        <w:rPr>
          <w:rFonts w:ascii="Times New Roman" w:hAnsi="Times New Roman"/>
        </w:rPr>
      </w:pPr>
      <w:r>
        <w:rPr>
          <w:rFonts w:ascii="Times New Roman" w:hAnsi="Times New Roman"/>
        </w:rPr>
        <w:t>It was agreed that c</w:t>
      </w:r>
      <w:r w:rsidR="00602C6E" w:rsidRPr="00EF24E2">
        <w:rPr>
          <w:rFonts w:ascii="Times New Roman" w:hAnsi="Times New Roman"/>
        </w:rPr>
        <w:t>andidate cell configuration can be provided as delta configurations on top of a reference configuration. The reference configuration is managed separately, and a UE stores the reference configuration as a separate configuration.</w:t>
      </w:r>
      <w:r>
        <w:rPr>
          <w:rFonts w:ascii="Times New Roman" w:hAnsi="Times New Roman"/>
        </w:rPr>
        <w:t xml:space="preserve"> Therefore, </w:t>
      </w:r>
      <w:r w:rsidRPr="00DB7AF1">
        <w:rPr>
          <w:rFonts w:ascii="Times New Roman" w:hAnsi="Times New Roman"/>
        </w:rPr>
        <w:t>compliance check should also cover the reference configuration.</w:t>
      </w:r>
    </w:p>
    <w:p w14:paraId="7AAB8FC6" w14:textId="6A410468" w:rsidR="005504D9" w:rsidRPr="005504D9" w:rsidRDefault="005504D9" w:rsidP="00602C6E">
      <w:pPr>
        <w:pStyle w:val="Doc-text2"/>
        <w:ind w:left="0" w:firstLine="0"/>
        <w:rPr>
          <w:rFonts w:ascii="Times New Roman" w:hAnsi="Times New Roman"/>
          <w:b/>
          <w:bCs/>
          <w:szCs w:val="20"/>
          <w:lang w:eastAsia="zh-CN"/>
        </w:rPr>
      </w:pPr>
      <w:r w:rsidRPr="005504D9">
        <w:rPr>
          <w:rFonts w:ascii="Times New Roman" w:hAnsi="Times New Roman" w:hint="eastAsia"/>
          <w:b/>
          <w:bCs/>
          <w:szCs w:val="20"/>
          <w:lang w:eastAsia="zh-CN"/>
        </w:rPr>
        <w:t>O</w:t>
      </w:r>
      <w:r w:rsidRPr="005504D9">
        <w:rPr>
          <w:rFonts w:ascii="Times New Roman" w:hAnsi="Times New Roman"/>
          <w:b/>
          <w:bCs/>
          <w:szCs w:val="20"/>
          <w:lang w:eastAsia="zh-CN"/>
        </w:rPr>
        <w:t xml:space="preserve">bservation 1: </w:t>
      </w:r>
      <w:r>
        <w:rPr>
          <w:rFonts w:ascii="Times New Roman" w:hAnsi="Times New Roman"/>
          <w:b/>
          <w:bCs/>
          <w:szCs w:val="20"/>
          <w:lang w:eastAsia="zh-CN"/>
        </w:rPr>
        <w:t>A</w:t>
      </w:r>
      <w:r w:rsidRPr="005504D9">
        <w:rPr>
          <w:rFonts w:ascii="Times New Roman" w:hAnsi="Times New Roman"/>
          <w:b/>
          <w:bCs/>
          <w:szCs w:val="20"/>
          <w:lang w:eastAsia="zh-CN"/>
        </w:rPr>
        <w:t xml:space="preserve"> UE stores the reference configuration as a separate configuration.</w:t>
      </w:r>
    </w:p>
    <w:p w14:paraId="761BF66E" w14:textId="13DC04A9" w:rsidR="00602C6E" w:rsidRPr="00602C6E" w:rsidRDefault="00602C6E" w:rsidP="00602C6E">
      <w:pPr>
        <w:pStyle w:val="Doc-text2"/>
        <w:ind w:left="0" w:firstLine="0"/>
        <w:rPr>
          <w:rFonts w:ascii="Times New Roman" w:hAnsi="Times New Roman"/>
          <w:b/>
          <w:bCs/>
          <w:szCs w:val="20"/>
          <w:lang w:eastAsia="zh-CN"/>
        </w:rPr>
      </w:pPr>
      <w:r w:rsidRPr="00602C6E">
        <w:rPr>
          <w:rFonts w:ascii="Times New Roman" w:hAnsi="Times New Roman" w:hint="eastAsia"/>
          <w:b/>
          <w:bCs/>
          <w:szCs w:val="20"/>
          <w:lang w:eastAsia="zh-CN"/>
        </w:rPr>
        <w:t>P</w:t>
      </w:r>
      <w:r w:rsidRPr="00602C6E">
        <w:rPr>
          <w:rFonts w:ascii="Times New Roman" w:hAnsi="Times New Roman"/>
          <w:b/>
          <w:bCs/>
          <w:szCs w:val="20"/>
          <w:lang w:eastAsia="zh-CN"/>
        </w:rPr>
        <w:t>roposal</w:t>
      </w:r>
      <w:r w:rsidR="00DB7AF1">
        <w:rPr>
          <w:rFonts w:ascii="Times New Roman" w:hAnsi="Times New Roman"/>
          <w:b/>
          <w:bCs/>
          <w:szCs w:val="20"/>
          <w:lang w:eastAsia="zh-CN"/>
        </w:rPr>
        <w:t xml:space="preserve"> 2</w:t>
      </w:r>
      <w:r w:rsidRPr="00602C6E">
        <w:rPr>
          <w:rFonts w:ascii="Times New Roman" w:hAnsi="Times New Roman"/>
          <w:b/>
          <w:bCs/>
          <w:szCs w:val="20"/>
          <w:lang w:eastAsia="zh-CN"/>
        </w:rPr>
        <w:t xml:space="preserve">: The compliance </w:t>
      </w:r>
      <w:r w:rsidR="00DB7AF1">
        <w:rPr>
          <w:rFonts w:ascii="Times New Roman" w:hAnsi="Times New Roman"/>
          <w:b/>
          <w:bCs/>
          <w:szCs w:val="20"/>
          <w:lang w:eastAsia="zh-CN"/>
        </w:rPr>
        <w:t xml:space="preserve">check </w:t>
      </w:r>
      <w:r w:rsidRPr="00602C6E">
        <w:rPr>
          <w:rFonts w:ascii="Times New Roman" w:hAnsi="Times New Roman"/>
          <w:b/>
          <w:bCs/>
          <w:szCs w:val="20"/>
          <w:lang w:eastAsia="zh-CN"/>
        </w:rPr>
        <w:t xml:space="preserve">covers the </w:t>
      </w:r>
      <w:r w:rsidR="00A0085E">
        <w:rPr>
          <w:rFonts w:ascii="Times New Roman" w:hAnsi="Times New Roman"/>
          <w:b/>
          <w:bCs/>
          <w:szCs w:val="20"/>
          <w:lang w:eastAsia="zh-CN"/>
        </w:rPr>
        <w:t>reference</w:t>
      </w:r>
      <w:r w:rsidRPr="00602C6E">
        <w:rPr>
          <w:rFonts w:ascii="Times New Roman" w:hAnsi="Times New Roman"/>
          <w:b/>
          <w:bCs/>
          <w:szCs w:val="20"/>
          <w:lang w:eastAsia="zh-CN"/>
        </w:rPr>
        <w:t xml:space="preserve"> configuration</w:t>
      </w:r>
      <w:r w:rsidR="00DB7AF1">
        <w:rPr>
          <w:rFonts w:ascii="Times New Roman" w:hAnsi="Times New Roman"/>
          <w:b/>
          <w:bCs/>
          <w:szCs w:val="20"/>
          <w:lang w:eastAsia="zh-CN"/>
        </w:rPr>
        <w:t>.</w:t>
      </w:r>
    </w:p>
    <w:p w14:paraId="073D011A" w14:textId="0F4571E3" w:rsidR="004D62F8" w:rsidRPr="00DB7AF1" w:rsidRDefault="004D62F8" w:rsidP="002C3EB6">
      <w:pPr>
        <w:pStyle w:val="Doc-text2"/>
        <w:ind w:left="0" w:firstLine="0"/>
        <w:rPr>
          <w:rFonts w:ascii="Times New Roman" w:hAnsi="Times New Roman"/>
          <w:b/>
          <w:bCs/>
          <w:szCs w:val="20"/>
          <w:lang w:eastAsia="zh-CN"/>
        </w:rPr>
      </w:pP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22FE8900" w14:textId="482AFBBB" w:rsidR="00DB7AF1" w:rsidRDefault="00DB7AF1" w:rsidP="00DB7AF1">
      <w:pPr>
        <w:pStyle w:val="Doc-text2"/>
        <w:ind w:left="0" w:firstLine="0"/>
        <w:rPr>
          <w:rFonts w:ascii="Times New Roman" w:hAnsi="Times New Roman"/>
          <w:b/>
          <w:bCs/>
          <w:szCs w:val="20"/>
          <w:lang w:eastAsia="zh-CN"/>
        </w:rPr>
      </w:pPr>
      <w:r>
        <w:rPr>
          <w:rFonts w:ascii="Times New Roman" w:hAnsi="Times New Roman"/>
          <w:b/>
          <w:bCs/>
          <w:szCs w:val="20"/>
          <w:lang w:eastAsia="zh-CN"/>
        </w:rPr>
        <w:t xml:space="preserve">Proposal 1: </w:t>
      </w:r>
      <w:r w:rsidRPr="00DB7AF1">
        <w:rPr>
          <w:rFonts w:ascii="Times New Roman" w:hAnsi="Times New Roman"/>
          <w:b/>
          <w:bCs/>
          <w:szCs w:val="20"/>
          <w:lang w:eastAsia="zh-CN"/>
        </w:rPr>
        <w:t>It is UE implementation to perform compliance check for LTM configuration upon reception of candidate cell configuration, performing early TA acquisition or executing cell switching</w:t>
      </w:r>
      <w:r w:rsidRPr="002E421B">
        <w:rPr>
          <w:rFonts w:ascii="Times New Roman" w:hAnsi="Times New Roman"/>
          <w:b/>
          <w:bCs/>
          <w:szCs w:val="20"/>
          <w:lang w:eastAsia="zh-CN"/>
        </w:rPr>
        <w:t>.</w:t>
      </w:r>
    </w:p>
    <w:p w14:paraId="358D23B2" w14:textId="77777777" w:rsidR="008A2FF6" w:rsidRPr="005504D9" w:rsidRDefault="008A2FF6" w:rsidP="008A2FF6">
      <w:pPr>
        <w:pStyle w:val="Doc-text2"/>
        <w:ind w:left="0" w:firstLine="0"/>
        <w:rPr>
          <w:rFonts w:ascii="Times New Roman" w:hAnsi="Times New Roman"/>
          <w:b/>
          <w:bCs/>
          <w:szCs w:val="20"/>
          <w:lang w:eastAsia="zh-CN"/>
        </w:rPr>
      </w:pPr>
      <w:r w:rsidRPr="005504D9">
        <w:rPr>
          <w:rFonts w:ascii="Times New Roman" w:hAnsi="Times New Roman" w:hint="eastAsia"/>
          <w:b/>
          <w:bCs/>
          <w:szCs w:val="20"/>
          <w:lang w:eastAsia="zh-CN"/>
        </w:rPr>
        <w:t>O</w:t>
      </w:r>
      <w:r w:rsidRPr="005504D9">
        <w:rPr>
          <w:rFonts w:ascii="Times New Roman" w:hAnsi="Times New Roman"/>
          <w:b/>
          <w:bCs/>
          <w:szCs w:val="20"/>
          <w:lang w:eastAsia="zh-CN"/>
        </w:rPr>
        <w:t xml:space="preserve">bservation 1: </w:t>
      </w:r>
      <w:r>
        <w:rPr>
          <w:rFonts w:ascii="Times New Roman" w:hAnsi="Times New Roman"/>
          <w:b/>
          <w:bCs/>
          <w:szCs w:val="20"/>
          <w:lang w:eastAsia="zh-CN"/>
        </w:rPr>
        <w:t>A</w:t>
      </w:r>
      <w:r w:rsidRPr="005504D9">
        <w:rPr>
          <w:rFonts w:ascii="Times New Roman" w:hAnsi="Times New Roman"/>
          <w:b/>
          <w:bCs/>
          <w:szCs w:val="20"/>
          <w:lang w:eastAsia="zh-CN"/>
        </w:rPr>
        <w:t xml:space="preserve"> UE stores the reference configuration as a separate configuration.</w:t>
      </w:r>
    </w:p>
    <w:p w14:paraId="5B72DDF7" w14:textId="77777777" w:rsidR="00DB7AF1" w:rsidRPr="00602C6E" w:rsidRDefault="00DB7AF1" w:rsidP="00DB7AF1">
      <w:pPr>
        <w:pStyle w:val="Doc-text2"/>
        <w:ind w:left="0" w:firstLine="0"/>
        <w:rPr>
          <w:rFonts w:ascii="Times New Roman" w:hAnsi="Times New Roman"/>
          <w:b/>
          <w:bCs/>
          <w:szCs w:val="20"/>
          <w:lang w:eastAsia="zh-CN"/>
        </w:rPr>
      </w:pPr>
      <w:r w:rsidRPr="00602C6E">
        <w:rPr>
          <w:rFonts w:ascii="Times New Roman" w:hAnsi="Times New Roman" w:hint="eastAsia"/>
          <w:b/>
          <w:bCs/>
          <w:szCs w:val="20"/>
          <w:lang w:eastAsia="zh-CN"/>
        </w:rPr>
        <w:t>P</w:t>
      </w:r>
      <w:r w:rsidRPr="00602C6E">
        <w:rPr>
          <w:rFonts w:ascii="Times New Roman" w:hAnsi="Times New Roman"/>
          <w:b/>
          <w:bCs/>
          <w:szCs w:val="20"/>
          <w:lang w:eastAsia="zh-CN"/>
        </w:rPr>
        <w:t>roposal</w:t>
      </w:r>
      <w:r>
        <w:rPr>
          <w:rFonts w:ascii="Times New Roman" w:hAnsi="Times New Roman"/>
          <w:b/>
          <w:bCs/>
          <w:szCs w:val="20"/>
          <w:lang w:eastAsia="zh-CN"/>
        </w:rPr>
        <w:t xml:space="preserve"> 2</w:t>
      </w:r>
      <w:r w:rsidRPr="00602C6E">
        <w:rPr>
          <w:rFonts w:ascii="Times New Roman" w:hAnsi="Times New Roman"/>
          <w:b/>
          <w:bCs/>
          <w:szCs w:val="20"/>
          <w:lang w:eastAsia="zh-CN"/>
        </w:rPr>
        <w:t xml:space="preserve">: The compliance </w:t>
      </w:r>
      <w:r>
        <w:rPr>
          <w:rFonts w:ascii="Times New Roman" w:hAnsi="Times New Roman"/>
          <w:b/>
          <w:bCs/>
          <w:szCs w:val="20"/>
          <w:lang w:eastAsia="zh-CN"/>
        </w:rPr>
        <w:t xml:space="preserve">check </w:t>
      </w:r>
      <w:r w:rsidRPr="00602C6E">
        <w:rPr>
          <w:rFonts w:ascii="Times New Roman" w:hAnsi="Times New Roman"/>
          <w:b/>
          <w:bCs/>
          <w:szCs w:val="20"/>
          <w:lang w:eastAsia="zh-CN"/>
        </w:rPr>
        <w:t xml:space="preserve">covers the </w:t>
      </w:r>
      <w:r>
        <w:rPr>
          <w:rFonts w:ascii="Times New Roman" w:hAnsi="Times New Roman"/>
          <w:b/>
          <w:bCs/>
          <w:szCs w:val="20"/>
          <w:lang w:eastAsia="zh-CN"/>
        </w:rPr>
        <w:t>reference</w:t>
      </w:r>
      <w:r w:rsidRPr="00602C6E">
        <w:rPr>
          <w:rFonts w:ascii="Times New Roman" w:hAnsi="Times New Roman"/>
          <w:b/>
          <w:bCs/>
          <w:szCs w:val="20"/>
          <w:lang w:eastAsia="zh-CN"/>
        </w:rPr>
        <w:t xml:space="preserve"> configuration</w:t>
      </w:r>
      <w:r>
        <w:rPr>
          <w:rFonts w:ascii="Times New Roman" w:hAnsi="Times New Roman"/>
          <w:b/>
          <w:bCs/>
          <w:szCs w:val="20"/>
          <w:lang w:eastAsia="zh-CN"/>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6A33F802" w14:textId="4AB1EA28" w:rsidR="001921B4" w:rsidRDefault="00ED77AE" w:rsidP="009F5674">
      <w:pPr>
        <w:pStyle w:val="References"/>
      </w:pPr>
      <w:r>
        <w:t>RAN2 chairman notes for RAN2#119</w:t>
      </w:r>
      <w:r w:rsidR="007F1096">
        <w:t>bis</w:t>
      </w:r>
      <w:r>
        <w:t>e</w:t>
      </w:r>
      <w:r w:rsidR="00915B07">
        <w:t>.</w:t>
      </w:r>
    </w:p>
    <w:p w14:paraId="53AF9216" w14:textId="28C20BF5" w:rsidR="00A0085E" w:rsidRDefault="00A0085E" w:rsidP="00A0085E">
      <w:pPr>
        <w:pStyle w:val="References"/>
      </w:pPr>
      <w:r>
        <w:t>RAN2 chairman notes for RAN2#120.</w:t>
      </w:r>
    </w:p>
    <w:p w14:paraId="2670E28A" w14:textId="77777777" w:rsidR="00A0085E" w:rsidRPr="00A0085E" w:rsidRDefault="00A0085E" w:rsidP="00A0085E">
      <w:pPr>
        <w:rPr>
          <w:lang w:eastAsia="en-US"/>
        </w:rPr>
      </w:pPr>
    </w:p>
    <w:p w14:paraId="3C714ABD" w14:textId="77777777" w:rsidR="001921B4" w:rsidRPr="001921B4" w:rsidRDefault="001921B4" w:rsidP="001921B4">
      <w:pPr>
        <w:rPr>
          <w:lang w:eastAsia="en-US"/>
        </w:rPr>
      </w:pPr>
    </w:p>
    <w:sectPr w:rsidR="001921B4" w:rsidRPr="001921B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C652C" w14:textId="77777777" w:rsidR="006B320D" w:rsidRDefault="006B320D">
      <w:r>
        <w:separator/>
      </w:r>
    </w:p>
  </w:endnote>
  <w:endnote w:type="continuationSeparator" w:id="0">
    <w:p w14:paraId="35D18F3D" w14:textId="77777777" w:rsidR="006B320D" w:rsidRDefault="006B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9F8" w14:textId="77777777" w:rsidR="006B320D" w:rsidRDefault="006B320D">
      <w:r>
        <w:separator/>
      </w:r>
    </w:p>
  </w:footnote>
  <w:footnote w:type="continuationSeparator" w:id="0">
    <w:p w14:paraId="34F2F2F6" w14:textId="77777777" w:rsidR="006B320D" w:rsidRDefault="006B3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1876252"/>
    <w:multiLevelType w:val="hybridMultilevel"/>
    <w:tmpl w:val="09A2FF2C"/>
    <w:lvl w:ilvl="0" w:tplc="656C6B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4522D"/>
    <w:multiLevelType w:val="hybridMultilevel"/>
    <w:tmpl w:val="B50290AC"/>
    <w:lvl w:ilvl="0" w:tplc="CF8CDF5E">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99F1CDD"/>
    <w:multiLevelType w:val="multilevel"/>
    <w:tmpl w:val="499F1CDD"/>
    <w:lvl w:ilvl="0">
      <w:start w:val="1"/>
      <w:numFmt w:val="bullet"/>
      <w:lvlText w:val="-"/>
      <w:lvlJc w:val="left"/>
      <w:pPr>
        <w:ind w:left="360" w:hanging="360"/>
      </w:pPr>
      <w:rPr>
        <w:rFonts w:ascii="Times New Roman" w:hAnsi="Times New Roman" w:cs="Times New Roman"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90738849">
    <w:abstractNumId w:val="11"/>
  </w:num>
  <w:num w:numId="2" w16cid:durableId="1610746112">
    <w:abstractNumId w:val="0"/>
  </w:num>
  <w:num w:numId="3" w16cid:durableId="1663508495">
    <w:abstractNumId w:val="15"/>
  </w:num>
  <w:num w:numId="4" w16cid:durableId="262154152">
    <w:abstractNumId w:val="14"/>
  </w:num>
  <w:num w:numId="5" w16cid:durableId="524943508">
    <w:abstractNumId w:val="7"/>
  </w:num>
  <w:num w:numId="6" w16cid:durableId="581380852">
    <w:abstractNumId w:val="10"/>
  </w:num>
  <w:num w:numId="7" w16cid:durableId="2139907879">
    <w:abstractNumId w:val="2"/>
  </w:num>
  <w:num w:numId="8" w16cid:durableId="80807822">
    <w:abstractNumId w:val="6"/>
  </w:num>
  <w:num w:numId="9" w16cid:durableId="951597476">
    <w:abstractNumId w:val="1"/>
  </w:num>
  <w:num w:numId="10" w16cid:durableId="947200721">
    <w:abstractNumId w:val="13"/>
  </w:num>
  <w:num w:numId="11" w16cid:durableId="737901803">
    <w:abstractNumId w:val="3"/>
  </w:num>
  <w:num w:numId="12" w16cid:durableId="1149595716">
    <w:abstractNumId w:val="15"/>
  </w:num>
  <w:num w:numId="13" w16cid:durableId="1587305215">
    <w:abstractNumId w:val="9"/>
  </w:num>
  <w:num w:numId="14" w16cid:durableId="1055203332">
    <w:abstractNumId w:val="5"/>
  </w:num>
  <w:num w:numId="15" w16cid:durableId="761610546">
    <w:abstractNumId w:val="8"/>
  </w:num>
  <w:num w:numId="16" w16cid:durableId="627975253">
    <w:abstractNumId w:val="4"/>
  </w:num>
  <w:num w:numId="17" w16cid:durableId="65904176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B1A"/>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59F5"/>
    <w:rsid w:val="000761F5"/>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0EA"/>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2C"/>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36E"/>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B4C"/>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70D"/>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60E"/>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88F"/>
    <w:rsid w:val="001C3C68"/>
    <w:rsid w:val="001C4289"/>
    <w:rsid w:val="001C44D8"/>
    <w:rsid w:val="001C4C1D"/>
    <w:rsid w:val="001C51CC"/>
    <w:rsid w:val="001C54E0"/>
    <w:rsid w:val="001C55A9"/>
    <w:rsid w:val="001C6194"/>
    <w:rsid w:val="001C692D"/>
    <w:rsid w:val="001C69BA"/>
    <w:rsid w:val="001C6C5D"/>
    <w:rsid w:val="001C7ACE"/>
    <w:rsid w:val="001D02D8"/>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5DD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09B2"/>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4FEE"/>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3EB6"/>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DE6"/>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21B"/>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27C12"/>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EF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45B"/>
    <w:rsid w:val="00376760"/>
    <w:rsid w:val="00377395"/>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A7E9A"/>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643"/>
    <w:rsid w:val="003C6648"/>
    <w:rsid w:val="003C68A7"/>
    <w:rsid w:val="003C6984"/>
    <w:rsid w:val="003C7AF5"/>
    <w:rsid w:val="003D07A9"/>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E6A"/>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165"/>
    <w:rsid w:val="0047337F"/>
    <w:rsid w:val="00473931"/>
    <w:rsid w:val="00473DD2"/>
    <w:rsid w:val="00474228"/>
    <w:rsid w:val="0047431E"/>
    <w:rsid w:val="004743C7"/>
    <w:rsid w:val="004744CB"/>
    <w:rsid w:val="004745B2"/>
    <w:rsid w:val="00474CEC"/>
    <w:rsid w:val="00475240"/>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4A1"/>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2F8"/>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A5"/>
    <w:rsid w:val="005437D1"/>
    <w:rsid w:val="0054389A"/>
    <w:rsid w:val="00543A5F"/>
    <w:rsid w:val="00543AEB"/>
    <w:rsid w:val="00543B77"/>
    <w:rsid w:val="00544945"/>
    <w:rsid w:val="00545132"/>
    <w:rsid w:val="005453A0"/>
    <w:rsid w:val="00547B7F"/>
    <w:rsid w:val="00547D36"/>
    <w:rsid w:val="005504D9"/>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9D6"/>
    <w:rsid w:val="00577F2A"/>
    <w:rsid w:val="00580B1D"/>
    <w:rsid w:val="00580BF9"/>
    <w:rsid w:val="00581C61"/>
    <w:rsid w:val="00581E5A"/>
    <w:rsid w:val="00582CF2"/>
    <w:rsid w:val="0058334F"/>
    <w:rsid w:val="00583533"/>
    <w:rsid w:val="0058375B"/>
    <w:rsid w:val="0058395F"/>
    <w:rsid w:val="00583CAD"/>
    <w:rsid w:val="00583F0A"/>
    <w:rsid w:val="00584F0B"/>
    <w:rsid w:val="005852D6"/>
    <w:rsid w:val="00585870"/>
    <w:rsid w:val="00585878"/>
    <w:rsid w:val="00585966"/>
    <w:rsid w:val="00585EDD"/>
    <w:rsid w:val="005862A8"/>
    <w:rsid w:val="00586449"/>
    <w:rsid w:val="00586A77"/>
    <w:rsid w:val="00586F50"/>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0D"/>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2C6E"/>
    <w:rsid w:val="00602F8E"/>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62B"/>
    <w:rsid w:val="00636BE6"/>
    <w:rsid w:val="006377E5"/>
    <w:rsid w:val="00637901"/>
    <w:rsid w:val="00637D42"/>
    <w:rsid w:val="00637F1A"/>
    <w:rsid w:val="00640114"/>
    <w:rsid w:val="006405CB"/>
    <w:rsid w:val="00640A3E"/>
    <w:rsid w:val="006413DB"/>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10C"/>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939"/>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9CA"/>
    <w:rsid w:val="006A6D49"/>
    <w:rsid w:val="006A6D78"/>
    <w:rsid w:val="006A733B"/>
    <w:rsid w:val="006B0AD2"/>
    <w:rsid w:val="006B0E90"/>
    <w:rsid w:val="006B1016"/>
    <w:rsid w:val="006B14A3"/>
    <w:rsid w:val="006B185F"/>
    <w:rsid w:val="006B1993"/>
    <w:rsid w:val="006B1A97"/>
    <w:rsid w:val="006B2489"/>
    <w:rsid w:val="006B2AA4"/>
    <w:rsid w:val="006B2BBE"/>
    <w:rsid w:val="006B320D"/>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0B6"/>
    <w:rsid w:val="006C0CDB"/>
    <w:rsid w:val="006C182F"/>
    <w:rsid w:val="006C19E8"/>
    <w:rsid w:val="006C1E32"/>
    <w:rsid w:val="006C1E9D"/>
    <w:rsid w:val="006C21C7"/>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0BE9"/>
    <w:rsid w:val="00701968"/>
    <w:rsid w:val="00701F70"/>
    <w:rsid w:val="00704979"/>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B20"/>
    <w:rsid w:val="00741F73"/>
    <w:rsid w:val="00742C04"/>
    <w:rsid w:val="00743ACC"/>
    <w:rsid w:val="00744216"/>
    <w:rsid w:val="00744661"/>
    <w:rsid w:val="00744ADA"/>
    <w:rsid w:val="00744D26"/>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A2C"/>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A1"/>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4EA7"/>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AA9"/>
    <w:rsid w:val="007B4C76"/>
    <w:rsid w:val="007B542E"/>
    <w:rsid w:val="007B5C1F"/>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096"/>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0E58"/>
    <w:rsid w:val="00811032"/>
    <w:rsid w:val="00811A56"/>
    <w:rsid w:val="00811F00"/>
    <w:rsid w:val="00812818"/>
    <w:rsid w:val="00812837"/>
    <w:rsid w:val="00812B53"/>
    <w:rsid w:val="008138C0"/>
    <w:rsid w:val="00814273"/>
    <w:rsid w:val="0081428A"/>
    <w:rsid w:val="0081477C"/>
    <w:rsid w:val="00814BD0"/>
    <w:rsid w:val="008155AD"/>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014"/>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2CB"/>
    <w:rsid w:val="00847350"/>
    <w:rsid w:val="00847635"/>
    <w:rsid w:val="00847FB8"/>
    <w:rsid w:val="00847FBC"/>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2FF6"/>
    <w:rsid w:val="008A34F4"/>
    <w:rsid w:val="008A3D93"/>
    <w:rsid w:val="008A417B"/>
    <w:rsid w:val="008A4245"/>
    <w:rsid w:val="008A426F"/>
    <w:rsid w:val="008A4E6D"/>
    <w:rsid w:val="008A5E99"/>
    <w:rsid w:val="008A62C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589"/>
    <w:rsid w:val="008C2B8E"/>
    <w:rsid w:val="008C3859"/>
    <w:rsid w:val="008C3FF4"/>
    <w:rsid w:val="008C49EC"/>
    <w:rsid w:val="008C4D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319"/>
    <w:rsid w:val="008F2473"/>
    <w:rsid w:val="008F3927"/>
    <w:rsid w:val="008F4EDB"/>
    <w:rsid w:val="008F5320"/>
    <w:rsid w:val="008F55B6"/>
    <w:rsid w:val="008F5FB4"/>
    <w:rsid w:val="008F5FF3"/>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2D51"/>
    <w:rsid w:val="0091459F"/>
    <w:rsid w:val="00915659"/>
    <w:rsid w:val="00915B07"/>
    <w:rsid w:val="00915D84"/>
    <w:rsid w:val="00915D95"/>
    <w:rsid w:val="009160AF"/>
    <w:rsid w:val="00916A54"/>
    <w:rsid w:val="009173D6"/>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2F"/>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07A"/>
    <w:rsid w:val="00963301"/>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06B"/>
    <w:rsid w:val="0097326F"/>
    <w:rsid w:val="00973613"/>
    <w:rsid w:val="00973AFC"/>
    <w:rsid w:val="0097465D"/>
    <w:rsid w:val="0097492D"/>
    <w:rsid w:val="00974B01"/>
    <w:rsid w:val="009753C5"/>
    <w:rsid w:val="009758E7"/>
    <w:rsid w:val="00975B0F"/>
    <w:rsid w:val="00975E75"/>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0A6"/>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85E"/>
    <w:rsid w:val="00A00D20"/>
    <w:rsid w:val="00A00E73"/>
    <w:rsid w:val="00A0184D"/>
    <w:rsid w:val="00A0217C"/>
    <w:rsid w:val="00A0274D"/>
    <w:rsid w:val="00A027C8"/>
    <w:rsid w:val="00A030D1"/>
    <w:rsid w:val="00A032B7"/>
    <w:rsid w:val="00A040DA"/>
    <w:rsid w:val="00A042E5"/>
    <w:rsid w:val="00A044B9"/>
    <w:rsid w:val="00A04512"/>
    <w:rsid w:val="00A048AB"/>
    <w:rsid w:val="00A04D75"/>
    <w:rsid w:val="00A0681F"/>
    <w:rsid w:val="00A100A4"/>
    <w:rsid w:val="00A105C8"/>
    <w:rsid w:val="00A10B99"/>
    <w:rsid w:val="00A10E34"/>
    <w:rsid w:val="00A11BBA"/>
    <w:rsid w:val="00A125C0"/>
    <w:rsid w:val="00A1369D"/>
    <w:rsid w:val="00A137DF"/>
    <w:rsid w:val="00A13CE2"/>
    <w:rsid w:val="00A1422C"/>
    <w:rsid w:val="00A14BA4"/>
    <w:rsid w:val="00A14DF7"/>
    <w:rsid w:val="00A150DC"/>
    <w:rsid w:val="00A15B81"/>
    <w:rsid w:val="00A15EC1"/>
    <w:rsid w:val="00A15FA2"/>
    <w:rsid w:val="00A16058"/>
    <w:rsid w:val="00A161B7"/>
    <w:rsid w:val="00A162AC"/>
    <w:rsid w:val="00A176B0"/>
    <w:rsid w:val="00A17B78"/>
    <w:rsid w:val="00A20018"/>
    <w:rsid w:val="00A20043"/>
    <w:rsid w:val="00A21499"/>
    <w:rsid w:val="00A227C0"/>
    <w:rsid w:val="00A239BD"/>
    <w:rsid w:val="00A23F48"/>
    <w:rsid w:val="00A2521C"/>
    <w:rsid w:val="00A25808"/>
    <w:rsid w:val="00A25CF9"/>
    <w:rsid w:val="00A2643B"/>
    <w:rsid w:val="00A26B00"/>
    <w:rsid w:val="00A271D5"/>
    <w:rsid w:val="00A274D9"/>
    <w:rsid w:val="00A27634"/>
    <w:rsid w:val="00A276E8"/>
    <w:rsid w:val="00A279AA"/>
    <w:rsid w:val="00A27A40"/>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23C"/>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526D"/>
    <w:rsid w:val="00A75A36"/>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9EA"/>
    <w:rsid w:val="00AA5F6C"/>
    <w:rsid w:val="00AA646D"/>
    <w:rsid w:val="00AA6D41"/>
    <w:rsid w:val="00AA7012"/>
    <w:rsid w:val="00AA74FE"/>
    <w:rsid w:val="00AA794A"/>
    <w:rsid w:val="00AA7A9A"/>
    <w:rsid w:val="00AA7E2F"/>
    <w:rsid w:val="00AA7F83"/>
    <w:rsid w:val="00AB068E"/>
    <w:rsid w:val="00AB0C12"/>
    <w:rsid w:val="00AB0D4C"/>
    <w:rsid w:val="00AB0E9C"/>
    <w:rsid w:val="00AB13E3"/>
    <w:rsid w:val="00AB1DE5"/>
    <w:rsid w:val="00AB31F6"/>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77"/>
    <w:rsid w:val="00AC3AA7"/>
    <w:rsid w:val="00AC3CD3"/>
    <w:rsid w:val="00AC3E11"/>
    <w:rsid w:val="00AC3EDD"/>
    <w:rsid w:val="00AC43EF"/>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71E"/>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8C0"/>
    <w:rsid w:val="00AF0F00"/>
    <w:rsid w:val="00AF11E0"/>
    <w:rsid w:val="00AF20EA"/>
    <w:rsid w:val="00AF2378"/>
    <w:rsid w:val="00AF25DD"/>
    <w:rsid w:val="00AF2CE5"/>
    <w:rsid w:val="00AF3724"/>
    <w:rsid w:val="00AF3DF0"/>
    <w:rsid w:val="00AF431C"/>
    <w:rsid w:val="00AF4C95"/>
    <w:rsid w:val="00AF5348"/>
    <w:rsid w:val="00AF56DE"/>
    <w:rsid w:val="00AF5801"/>
    <w:rsid w:val="00AF592D"/>
    <w:rsid w:val="00AF5AFB"/>
    <w:rsid w:val="00AF5E0C"/>
    <w:rsid w:val="00AF6A10"/>
    <w:rsid w:val="00AF6DB0"/>
    <w:rsid w:val="00AF7B35"/>
    <w:rsid w:val="00B00466"/>
    <w:rsid w:val="00B006DB"/>
    <w:rsid w:val="00B00BED"/>
    <w:rsid w:val="00B00F5B"/>
    <w:rsid w:val="00B01658"/>
    <w:rsid w:val="00B038EB"/>
    <w:rsid w:val="00B03B02"/>
    <w:rsid w:val="00B03EDB"/>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68AD"/>
    <w:rsid w:val="00B176D3"/>
    <w:rsid w:val="00B1771F"/>
    <w:rsid w:val="00B1790A"/>
    <w:rsid w:val="00B17A99"/>
    <w:rsid w:val="00B17E72"/>
    <w:rsid w:val="00B17F8A"/>
    <w:rsid w:val="00B201FF"/>
    <w:rsid w:val="00B202DE"/>
    <w:rsid w:val="00B207F9"/>
    <w:rsid w:val="00B21426"/>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1F9"/>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1F81"/>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46E"/>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0F4"/>
    <w:rsid w:val="00BC018A"/>
    <w:rsid w:val="00BC0481"/>
    <w:rsid w:val="00BC0599"/>
    <w:rsid w:val="00BC0D20"/>
    <w:rsid w:val="00BC10A6"/>
    <w:rsid w:val="00BC15B3"/>
    <w:rsid w:val="00BC217F"/>
    <w:rsid w:val="00BC2339"/>
    <w:rsid w:val="00BC2467"/>
    <w:rsid w:val="00BC2B97"/>
    <w:rsid w:val="00BC37FB"/>
    <w:rsid w:val="00BC3862"/>
    <w:rsid w:val="00BC393C"/>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5FA"/>
    <w:rsid w:val="00C23C76"/>
    <w:rsid w:val="00C23FA0"/>
    <w:rsid w:val="00C24475"/>
    <w:rsid w:val="00C246FB"/>
    <w:rsid w:val="00C24A1A"/>
    <w:rsid w:val="00C24B14"/>
    <w:rsid w:val="00C268FE"/>
    <w:rsid w:val="00C269B4"/>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4D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3FE"/>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9D0"/>
    <w:rsid w:val="00CD5B91"/>
    <w:rsid w:val="00CD5FB5"/>
    <w:rsid w:val="00CD618C"/>
    <w:rsid w:val="00CD644F"/>
    <w:rsid w:val="00CD6B22"/>
    <w:rsid w:val="00CD6E38"/>
    <w:rsid w:val="00CD7786"/>
    <w:rsid w:val="00CE080F"/>
    <w:rsid w:val="00CE0907"/>
    <w:rsid w:val="00CE0B53"/>
    <w:rsid w:val="00CE0C6A"/>
    <w:rsid w:val="00CE12B3"/>
    <w:rsid w:val="00CE220B"/>
    <w:rsid w:val="00CE243D"/>
    <w:rsid w:val="00CE2B2E"/>
    <w:rsid w:val="00CE2D17"/>
    <w:rsid w:val="00CE3390"/>
    <w:rsid w:val="00CE3703"/>
    <w:rsid w:val="00CE3932"/>
    <w:rsid w:val="00CE409A"/>
    <w:rsid w:val="00CE4498"/>
    <w:rsid w:val="00CE5B77"/>
    <w:rsid w:val="00CE5BEB"/>
    <w:rsid w:val="00CE61D4"/>
    <w:rsid w:val="00CE6355"/>
    <w:rsid w:val="00CE75BE"/>
    <w:rsid w:val="00CE7DD2"/>
    <w:rsid w:val="00CE7ED5"/>
    <w:rsid w:val="00CE7EE2"/>
    <w:rsid w:val="00CF0515"/>
    <w:rsid w:val="00CF07B1"/>
    <w:rsid w:val="00CF09B4"/>
    <w:rsid w:val="00CF12EA"/>
    <w:rsid w:val="00CF1B8C"/>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DF1"/>
    <w:rsid w:val="00D113D2"/>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328"/>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1D3"/>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6E6B"/>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19A2"/>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3EE1"/>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867"/>
    <w:rsid w:val="00DB0B9A"/>
    <w:rsid w:val="00DB0D38"/>
    <w:rsid w:val="00DB1715"/>
    <w:rsid w:val="00DB1DB7"/>
    <w:rsid w:val="00DB21C3"/>
    <w:rsid w:val="00DB2369"/>
    <w:rsid w:val="00DB239A"/>
    <w:rsid w:val="00DB2C7B"/>
    <w:rsid w:val="00DB3141"/>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AF1"/>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9F8"/>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7AE"/>
    <w:rsid w:val="00ED7AD2"/>
    <w:rsid w:val="00EE0F07"/>
    <w:rsid w:val="00EE195D"/>
    <w:rsid w:val="00EE1A56"/>
    <w:rsid w:val="00EE23F3"/>
    <w:rsid w:val="00EE2D8C"/>
    <w:rsid w:val="00EE3915"/>
    <w:rsid w:val="00EE5192"/>
    <w:rsid w:val="00EE6BA4"/>
    <w:rsid w:val="00EE7782"/>
    <w:rsid w:val="00EE7799"/>
    <w:rsid w:val="00EE7825"/>
    <w:rsid w:val="00EF0381"/>
    <w:rsid w:val="00EF0684"/>
    <w:rsid w:val="00EF0C31"/>
    <w:rsid w:val="00EF1576"/>
    <w:rsid w:val="00EF15F0"/>
    <w:rsid w:val="00EF17BC"/>
    <w:rsid w:val="00EF214E"/>
    <w:rsid w:val="00EF24E2"/>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3252"/>
    <w:rsid w:val="00F34306"/>
    <w:rsid w:val="00F35442"/>
    <w:rsid w:val="00F35BD9"/>
    <w:rsid w:val="00F35D78"/>
    <w:rsid w:val="00F35E83"/>
    <w:rsid w:val="00F36161"/>
    <w:rsid w:val="00F3704F"/>
    <w:rsid w:val="00F371F9"/>
    <w:rsid w:val="00F3720C"/>
    <w:rsid w:val="00F37957"/>
    <w:rsid w:val="00F37DDB"/>
    <w:rsid w:val="00F40392"/>
    <w:rsid w:val="00F403AC"/>
    <w:rsid w:val="00F40D48"/>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5D7"/>
    <w:rsid w:val="00F667CF"/>
    <w:rsid w:val="00F66A9E"/>
    <w:rsid w:val="00F66FA8"/>
    <w:rsid w:val="00F677A9"/>
    <w:rsid w:val="00F67A4B"/>
    <w:rsid w:val="00F67BCC"/>
    <w:rsid w:val="00F70281"/>
    <w:rsid w:val="00F705BB"/>
    <w:rsid w:val="00F707AE"/>
    <w:rsid w:val="00F7087B"/>
    <w:rsid w:val="00F70A91"/>
    <w:rsid w:val="00F70FAC"/>
    <w:rsid w:val="00F71E16"/>
    <w:rsid w:val="00F72489"/>
    <w:rsid w:val="00F7303B"/>
    <w:rsid w:val="00F730CC"/>
    <w:rsid w:val="00F73960"/>
    <w:rsid w:val="00F73A3A"/>
    <w:rsid w:val="00F73A87"/>
    <w:rsid w:val="00F73BC3"/>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265F"/>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08"/>
    <w:rsid w:val="00FA464A"/>
    <w:rsid w:val="00FA47BA"/>
    <w:rsid w:val="00FA47F3"/>
    <w:rsid w:val="00FA4D94"/>
    <w:rsid w:val="00FA593D"/>
    <w:rsid w:val="00FA60FF"/>
    <w:rsid w:val="00FA70A5"/>
    <w:rsid w:val="00FA7C0F"/>
    <w:rsid w:val="00FB0C7F"/>
    <w:rsid w:val="00FB10A2"/>
    <w:rsid w:val="00FB15DC"/>
    <w:rsid w:val="00FB1820"/>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HTML">
    <w:name w:val="HTML Preformatted"/>
    <w:basedOn w:val="a"/>
    <w:link w:val="HTML0"/>
    <w:uiPriority w:val="99"/>
    <w:semiHidden/>
    <w:unhideWhenUsed/>
    <w:rsid w:val="00FA46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FA4608"/>
    <w:rPr>
      <w:rFonts w:ascii="宋体" w:hAnsi="宋体" w:cs="宋体"/>
      <w:sz w:val="24"/>
      <w:szCs w:val="24"/>
    </w:rPr>
  </w:style>
  <w:style w:type="paragraph" w:styleId="af8">
    <w:name w:val="Body Text"/>
    <w:basedOn w:val="a"/>
    <w:link w:val="af9"/>
    <w:rsid w:val="00945A2F"/>
    <w:pPr>
      <w:widowControl/>
      <w:overflowPunct w:val="0"/>
      <w:autoSpaceDE w:val="0"/>
      <w:autoSpaceDN w:val="0"/>
      <w:adjustRightInd w:val="0"/>
      <w:spacing w:after="120" w:line="259" w:lineRule="auto"/>
      <w:textAlignment w:val="baseline"/>
    </w:pPr>
    <w:rPr>
      <w:rFonts w:ascii="Arial" w:eastAsia="PMingLiU" w:hAnsi="Arial"/>
      <w:kern w:val="0"/>
      <w:sz w:val="20"/>
      <w:szCs w:val="20"/>
      <w:lang w:val="en-GB"/>
    </w:rPr>
  </w:style>
  <w:style w:type="character" w:customStyle="1" w:styleId="af9">
    <w:name w:val="正文文本 字符"/>
    <w:basedOn w:val="a0"/>
    <w:link w:val="af8"/>
    <w:rsid w:val="00945A2F"/>
    <w:rPr>
      <w:rFonts w:ascii="Arial" w:eastAsia="PMingLiU" w:hAnsi="Arial"/>
      <w:lang w:val="en-GB"/>
    </w:rPr>
  </w:style>
  <w:style w:type="paragraph" w:customStyle="1" w:styleId="Proposal">
    <w:name w:val="Proposal"/>
    <w:basedOn w:val="a"/>
    <w:qFormat/>
    <w:rsid w:val="0096307A"/>
    <w:pPr>
      <w:widowControl/>
      <w:numPr>
        <w:numId w:val="15"/>
      </w:numPr>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817939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845750684">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77395035">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441</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44</cp:revision>
  <cp:lastPrinted>2012-10-30T00:20:00Z</cp:lastPrinted>
  <dcterms:created xsi:type="dcterms:W3CDTF">2023-02-13T06:24:00Z</dcterms:created>
  <dcterms:modified xsi:type="dcterms:W3CDTF">2023-02-17T01:04:00Z</dcterms:modified>
</cp:coreProperties>
</file>